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3504"/>
        <w:gridCol w:w="508"/>
        <w:gridCol w:w="1498"/>
        <w:gridCol w:w="1498"/>
      </w:tblGrid>
      <w:tr w:rsidR="00F35302" w:rsidRPr="002A7FC3" w14:paraId="459ED3C9" w14:textId="77777777" w:rsidTr="001233AD">
        <w:tc>
          <w:tcPr>
            <w:tcW w:w="9016" w:type="dxa"/>
            <w:gridSpan w:val="5"/>
          </w:tcPr>
          <w:p w14:paraId="35CEA665" w14:textId="77777777" w:rsidR="00F35302" w:rsidRPr="008D5019" w:rsidRDefault="00F35302" w:rsidP="00F35302">
            <w:pPr>
              <w:jc w:val="center"/>
              <w:rPr>
                <w:b/>
                <w:sz w:val="28"/>
                <w:szCs w:val="28"/>
              </w:rPr>
            </w:pPr>
            <w:r w:rsidRPr="008D5019">
              <w:rPr>
                <w:b/>
                <w:sz w:val="28"/>
                <w:szCs w:val="28"/>
              </w:rPr>
              <w:t>Horizon 2020</w:t>
            </w:r>
          </w:p>
          <w:p w14:paraId="53D24B47" w14:textId="77777777" w:rsidR="00F35302" w:rsidRPr="002A7FC3" w:rsidRDefault="00F35302" w:rsidP="00F35302">
            <w:pPr>
              <w:jc w:val="center"/>
              <w:rPr>
                <w:b/>
                <w:sz w:val="24"/>
                <w:szCs w:val="24"/>
              </w:rPr>
            </w:pPr>
            <w:r w:rsidRPr="008D5019">
              <w:rPr>
                <w:b/>
                <w:sz w:val="28"/>
                <w:szCs w:val="28"/>
              </w:rPr>
              <w:t xml:space="preserve"> PROFILE FORM</w:t>
            </w:r>
          </w:p>
        </w:tc>
      </w:tr>
      <w:tr w:rsidR="00DB436C" w:rsidRPr="002A7FC3" w14:paraId="5147FBA6" w14:textId="77777777" w:rsidTr="00641A2C">
        <w:tc>
          <w:tcPr>
            <w:tcW w:w="2008" w:type="dxa"/>
          </w:tcPr>
          <w:p w14:paraId="792F9C8F" w14:textId="77777777" w:rsidR="00DB436C" w:rsidRPr="002A7FC3" w:rsidRDefault="002C68D2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Organization Name / Department</w:t>
            </w:r>
          </w:p>
        </w:tc>
        <w:tc>
          <w:tcPr>
            <w:tcW w:w="4012" w:type="dxa"/>
            <w:gridSpan w:val="2"/>
          </w:tcPr>
          <w:p w14:paraId="32961249" w14:textId="77777777" w:rsidR="00F35302" w:rsidRPr="00F35302" w:rsidRDefault="00F35302">
            <w:pPr>
              <w:rPr>
                <w:sz w:val="24"/>
                <w:szCs w:val="24"/>
              </w:rPr>
            </w:pPr>
          </w:p>
          <w:p w14:paraId="42484992" w14:textId="77777777" w:rsidR="00DB436C" w:rsidRPr="002A7FC3" w:rsidRDefault="008D50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A7FC3" w:rsidRPr="00F35302">
              <w:rPr>
                <w:sz w:val="24"/>
                <w:szCs w:val="24"/>
              </w:rPr>
              <w:t>Malta Freeport Corporation Ltd</w:t>
            </w:r>
          </w:p>
        </w:tc>
        <w:tc>
          <w:tcPr>
            <w:tcW w:w="1498" w:type="dxa"/>
          </w:tcPr>
          <w:p w14:paraId="6A3B31B7" w14:textId="77777777" w:rsidR="00DB436C" w:rsidRPr="002A7FC3" w:rsidRDefault="002C68D2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Organization Short Name</w:t>
            </w:r>
          </w:p>
        </w:tc>
        <w:tc>
          <w:tcPr>
            <w:tcW w:w="1498" w:type="dxa"/>
          </w:tcPr>
          <w:p w14:paraId="7BEF24D9" w14:textId="77777777" w:rsidR="00DB436C" w:rsidRPr="002A7FC3" w:rsidRDefault="00DB436C">
            <w:pPr>
              <w:rPr>
                <w:b/>
                <w:sz w:val="24"/>
                <w:szCs w:val="24"/>
              </w:rPr>
            </w:pPr>
          </w:p>
          <w:p w14:paraId="2065A433" w14:textId="77777777" w:rsidR="00DB436C" w:rsidRPr="00F35302" w:rsidRDefault="008D5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7FC3" w:rsidRPr="00F35302">
              <w:rPr>
                <w:sz w:val="24"/>
                <w:szCs w:val="24"/>
              </w:rPr>
              <w:t>MFC</w:t>
            </w:r>
          </w:p>
          <w:p w14:paraId="76590CAB" w14:textId="77777777" w:rsidR="00DB436C" w:rsidRPr="002A7FC3" w:rsidRDefault="00DB436C">
            <w:pPr>
              <w:rPr>
                <w:b/>
                <w:sz w:val="24"/>
                <w:szCs w:val="24"/>
              </w:rPr>
            </w:pPr>
          </w:p>
        </w:tc>
      </w:tr>
      <w:tr w:rsidR="00DB436C" w:rsidRPr="002A7FC3" w14:paraId="3A432A50" w14:textId="77777777" w:rsidTr="00641A2C">
        <w:tc>
          <w:tcPr>
            <w:tcW w:w="2008" w:type="dxa"/>
          </w:tcPr>
          <w:p w14:paraId="518DEF23" w14:textId="77777777" w:rsidR="00DB436C" w:rsidRPr="002A7FC3" w:rsidRDefault="002C68D2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Organization Type</w:t>
            </w:r>
          </w:p>
        </w:tc>
        <w:tc>
          <w:tcPr>
            <w:tcW w:w="4012" w:type="dxa"/>
            <w:gridSpan w:val="2"/>
          </w:tcPr>
          <w:p w14:paraId="4D1BF7C4" w14:textId="77777777" w:rsidR="002A7FC3" w:rsidRPr="008D5019" w:rsidRDefault="002A7FC3" w:rsidP="002A7FC3">
            <w:pPr>
              <w:pStyle w:val="ListParagraph"/>
              <w:ind w:left="825"/>
              <w:rPr>
                <w:sz w:val="24"/>
                <w:szCs w:val="24"/>
              </w:rPr>
            </w:pPr>
          </w:p>
          <w:p w14:paraId="44FD032D" w14:textId="77777777" w:rsidR="002A7FC3" w:rsidRPr="008D5019" w:rsidRDefault="002C68D2" w:rsidP="002A7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5019">
              <w:rPr>
                <w:sz w:val="24"/>
                <w:szCs w:val="24"/>
              </w:rPr>
              <w:t xml:space="preserve">University  </w:t>
            </w:r>
          </w:p>
          <w:p w14:paraId="396FC18B" w14:textId="77777777" w:rsidR="002A7FC3" w:rsidRPr="008D5019" w:rsidRDefault="002C68D2" w:rsidP="002A7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5019">
              <w:rPr>
                <w:sz w:val="24"/>
                <w:szCs w:val="24"/>
              </w:rPr>
              <w:t xml:space="preserve">Public Research Centre </w:t>
            </w:r>
          </w:p>
          <w:p w14:paraId="0F60D66E" w14:textId="77777777" w:rsidR="002A7FC3" w:rsidRPr="008D5019" w:rsidRDefault="002C68D2" w:rsidP="002A7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5019">
              <w:rPr>
                <w:sz w:val="24"/>
                <w:szCs w:val="24"/>
              </w:rPr>
              <w:t xml:space="preserve"> Large Scale Enterprise </w:t>
            </w:r>
          </w:p>
          <w:p w14:paraId="110EE0C7" w14:textId="77777777" w:rsidR="00DB436C" w:rsidRPr="008D5019" w:rsidRDefault="002C68D2" w:rsidP="002A7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5019">
              <w:rPr>
                <w:sz w:val="24"/>
                <w:szCs w:val="24"/>
              </w:rPr>
              <w:t xml:space="preserve"> Small and Medium Scale Enterprise</w:t>
            </w:r>
          </w:p>
          <w:p w14:paraId="02D1E938" w14:textId="77777777" w:rsidR="002A7FC3" w:rsidRPr="008D5019" w:rsidRDefault="002A7FC3" w:rsidP="002A7FC3">
            <w:pPr>
              <w:ind w:left="465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14:paraId="49ECC24A" w14:textId="77777777" w:rsidR="002A7FC3" w:rsidRPr="008D5019" w:rsidRDefault="002A7FC3">
            <w:pPr>
              <w:rPr>
                <w:sz w:val="24"/>
                <w:szCs w:val="24"/>
              </w:rPr>
            </w:pPr>
          </w:p>
          <w:p w14:paraId="1AE66C86" w14:textId="77777777" w:rsidR="002A7FC3" w:rsidRPr="008D5019" w:rsidRDefault="002A7FC3" w:rsidP="002A7FC3">
            <w:pPr>
              <w:ind w:left="465"/>
              <w:rPr>
                <w:sz w:val="24"/>
                <w:szCs w:val="24"/>
              </w:rPr>
            </w:pPr>
            <w:r w:rsidRPr="008D5019">
              <w:rPr>
                <w:sz w:val="24"/>
                <w:szCs w:val="24"/>
              </w:rPr>
              <w:t xml:space="preserve">X    </w:t>
            </w:r>
            <w:r w:rsidR="002C68D2" w:rsidRPr="008D5019">
              <w:rPr>
                <w:sz w:val="24"/>
                <w:szCs w:val="24"/>
              </w:rPr>
              <w:t xml:space="preserve">Public Body  </w:t>
            </w:r>
          </w:p>
          <w:p w14:paraId="14DE20C8" w14:textId="77777777" w:rsidR="002A7FC3" w:rsidRPr="008D5019" w:rsidRDefault="002C68D2" w:rsidP="002A7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5019">
              <w:rPr>
                <w:sz w:val="24"/>
                <w:szCs w:val="24"/>
              </w:rPr>
              <w:t xml:space="preserve">International NGO  </w:t>
            </w:r>
          </w:p>
          <w:p w14:paraId="289C52CD" w14:textId="77777777" w:rsidR="00DB436C" w:rsidRPr="008D5019" w:rsidRDefault="002C68D2" w:rsidP="002A7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5019">
              <w:rPr>
                <w:sz w:val="24"/>
                <w:szCs w:val="24"/>
              </w:rPr>
              <w:t>National NGO</w:t>
            </w:r>
          </w:p>
          <w:p w14:paraId="10215A84" w14:textId="77777777" w:rsidR="00DB436C" w:rsidRPr="008D5019" w:rsidRDefault="00DB436C">
            <w:pPr>
              <w:rPr>
                <w:sz w:val="24"/>
                <w:szCs w:val="24"/>
              </w:rPr>
            </w:pPr>
          </w:p>
          <w:p w14:paraId="6A9A3DD6" w14:textId="77777777" w:rsidR="00DB436C" w:rsidRPr="008D5019" w:rsidRDefault="00DB436C">
            <w:pPr>
              <w:rPr>
                <w:sz w:val="24"/>
                <w:szCs w:val="24"/>
              </w:rPr>
            </w:pPr>
          </w:p>
        </w:tc>
      </w:tr>
      <w:tr w:rsidR="00DB436C" w:rsidRPr="002A7FC3" w14:paraId="0D504482" w14:textId="77777777" w:rsidTr="00641A2C">
        <w:tc>
          <w:tcPr>
            <w:tcW w:w="2008" w:type="dxa"/>
          </w:tcPr>
          <w:p w14:paraId="3DBB044C" w14:textId="77777777" w:rsidR="00F35302" w:rsidRDefault="00F35302">
            <w:pPr>
              <w:rPr>
                <w:b/>
                <w:sz w:val="24"/>
                <w:szCs w:val="24"/>
              </w:rPr>
            </w:pPr>
          </w:p>
          <w:p w14:paraId="4AA0AB27" w14:textId="77777777" w:rsidR="00F35302" w:rsidRDefault="00F35302">
            <w:pPr>
              <w:rPr>
                <w:b/>
                <w:sz w:val="24"/>
                <w:szCs w:val="24"/>
              </w:rPr>
            </w:pPr>
          </w:p>
          <w:p w14:paraId="10D2E551" w14:textId="77777777" w:rsidR="00F35302" w:rsidRDefault="00F35302">
            <w:pPr>
              <w:rPr>
                <w:b/>
                <w:sz w:val="24"/>
                <w:szCs w:val="24"/>
              </w:rPr>
            </w:pPr>
          </w:p>
          <w:p w14:paraId="05B4085B" w14:textId="77777777" w:rsidR="00DB436C" w:rsidRPr="002A7FC3" w:rsidRDefault="002C68D2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Research Fields</w:t>
            </w:r>
          </w:p>
        </w:tc>
        <w:tc>
          <w:tcPr>
            <w:tcW w:w="4012" w:type="dxa"/>
            <w:gridSpan w:val="2"/>
          </w:tcPr>
          <w:p w14:paraId="66B139D0" w14:textId="0663B3BF" w:rsidR="00DA642C" w:rsidRPr="008D5019" w:rsidRDefault="004F76CD" w:rsidP="00DA642C">
            <w:p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Development of g</w:t>
            </w:r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eneral container </w:t>
            </w:r>
            <w:r w:rsidR="002221BE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p</w:t>
            </w:r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ort </w:t>
            </w:r>
            <w:r w:rsidR="002221BE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o</w:t>
            </w:r>
            <w:r w:rsidR="008D5019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perations/</w:t>
            </w:r>
            <w:r w:rsidR="002221BE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m</w:t>
            </w:r>
            <w:r w:rsidR="008D5019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anagement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practices.</w:t>
            </w:r>
          </w:p>
          <w:p w14:paraId="3803C797" w14:textId="46F96E66" w:rsidR="00DA642C" w:rsidRPr="008D5019" w:rsidRDefault="008D5019" w:rsidP="00DA642C">
            <w:p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Regulatory issues</w:t>
            </w:r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regarding </w:t>
            </w:r>
            <w:proofErr w:type="spellStart"/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transhipment</w:t>
            </w:r>
            <w:proofErr w:type="spellEnd"/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ports</w:t>
            </w:r>
          </w:p>
          <w:p w14:paraId="040CBC55" w14:textId="4240392C" w:rsidR="00DA642C" w:rsidRPr="008D5019" w:rsidRDefault="00DA642C" w:rsidP="00DA642C">
            <w:p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Environmental </w:t>
            </w:r>
            <w:r w:rsidR="002221BE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impact </w:t>
            </w: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issues related to port activities, including noise and other emissions, and their abatement and/or mitigation</w:t>
            </w:r>
          </w:p>
          <w:p w14:paraId="77A1BF80" w14:textId="1A844C0D" w:rsidR="00DA642C" w:rsidRPr="008D5019" w:rsidRDefault="002221BE" w:rsidP="00DA642C">
            <w:p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Synergy and i</w:t>
            </w:r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nte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raction</w:t>
            </w:r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of port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area</w:t>
            </w:r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with </w:t>
            </w:r>
            <w:proofErr w:type="spellStart"/>
            <w:proofErr w:type="gramStart"/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n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ei</w:t>
            </w:r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ghbouring</w:t>
            </w:r>
            <w:proofErr w:type="spellEnd"/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 communities</w:t>
            </w:r>
            <w:proofErr w:type="gramEnd"/>
            <w:r w:rsidR="00DA642C"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.</w:t>
            </w:r>
          </w:p>
          <w:p w14:paraId="133C7B4D" w14:textId="77777777" w:rsidR="00DA642C" w:rsidRPr="008D5019" w:rsidRDefault="00DA642C" w:rsidP="00DA642C">
            <w:p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Security issues related to ports.</w:t>
            </w:r>
          </w:p>
          <w:p w14:paraId="1252FEBC" w14:textId="3D851C23" w:rsidR="00DA642C" w:rsidRPr="008D5019" w:rsidRDefault="00DA642C" w:rsidP="00DA642C">
            <w:p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D</w:t>
            </w:r>
            <w:r w:rsidR="004F76CD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evelopment of </w:t>
            </w: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equipment</w:t>
            </w:r>
            <w:r w:rsidR="002221BE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/systems</w:t>
            </w:r>
            <w:r w:rsidR="004F76CD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used in transshipment </w:t>
            </w:r>
            <w:r w:rsidR="002221BE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ports.</w:t>
            </w:r>
          </w:p>
          <w:p w14:paraId="150329E6" w14:textId="77777777" w:rsidR="00DB436C" w:rsidRPr="008D5019" w:rsidRDefault="00DB436C">
            <w:pPr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14:paraId="356B077D" w14:textId="77777777" w:rsidR="00DB436C" w:rsidRPr="002A7FC3" w:rsidRDefault="002A7FC3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Sub-fields Keywords</w:t>
            </w:r>
          </w:p>
          <w:p w14:paraId="660B2352" w14:textId="77777777" w:rsidR="00DB436C" w:rsidRPr="002A7FC3" w:rsidRDefault="00DB436C">
            <w:pPr>
              <w:rPr>
                <w:b/>
                <w:sz w:val="24"/>
                <w:szCs w:val="24"/>
              </w:rPr>
            </w:pPr>
          </w:p>
          <w:p w14:paraId="5456E39E" w14:textId="61C7099F" w:rsidR="00DB436C" w:rsidRPr="002221BE" w:rsidRDefault="002221BE">
            <w:pPr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p</w:t>
            </w:r>
            <w:r w:rsidR="008D5019">
              <w:rPr>
                <w:sz w:val="24"/>
                <w:szCs w:val="24"/>
              </w:rPr>
              <w:t>orts, containers, transhipment, transport equipment, quayside cranes, noise, emissions, ships</w:t>
            </w:r>
            <w:r w:rsidR="004F76CD">
              <w:rPr>
                <w:sz w:val="24"/>
                <w:szCs w:val="24"/>
              </w:rPr>
              <w:t>, security, IT systems,</w:t>
            </w:r>
            <w:r>
              <w:rPr>
                <w:sz w:val="24"/>
                <w:szCs w:val="24"/>
                <w:lang w:val="mt-MT"/>
              </w:rPr>
              <w:t xml:space="preserve"> cyber security</w:t>
            </w:r>
            <w:r w:rsidR="00C64729">
              <w:rPr>
                <w:sz w:val="24"/>
                <w:szCs w:val="24"/>
                <w:lang w:val="mt-MT"/>
              </w:rPr>
              <w:t>, Onshore Power Supply, Cold Ironing.</w:t>
            </w:r>
          </w:p>
          <w:p w14:paraId="246714A5" w14:textId="77777777" w:rsidR="002A7FC3" w:rsidRPr="002A7FC3" w:rsidRDefault="002A7FC3">
            <w:pPr>
              <w:rPr>
                <w:b/>
                <w:sz w:val="24"/>
                <w:szCs w:val="24"/>
              </w:rPr>
            </w:pPr>
          </w:p>
          <w:p w14:paraId="218FB52A" w14:textId="77777777" w:rsidR="002A7FC3" w:rsidRPr="002A7FC3" w:rsidRDefault="002A7FC3">
            <w:pPr>
              <w:rPr>
                <w:b/>
                <w:sz w:val="24"/>
                <w:szCs w:val="24"/>
              </w:rPr>
            </w:pPr>
          </w:p>
          <w:p w14:paraId="2125E114" w14:textId="77777777" w:rsidR="00DB436C" w:rsidRDefault="00DB436C">
            <w:pPr>
              <w:rPr>
                <w:b/>
                <w:sz w:val="24"/>
                <w:szCs w:val="24"/>
              </w:rPr>
            </w:pPr>
          </w:p>
          <w:p w14:paraId="4538876B" w14:textId="77777777" w:rsidR="00F35302" w:rsidRDefault="00F35302">
            <w:pPr>
              <w:rPr>
                <w:b/>
                <w:sz w:val="24"/>
                <w:szCs w:val="24"/>
              </w:rPr>
            </w:pPr>
          </w:p>
          <w:p w14:paraId="24AFF4D5" w14:textId="77777777" w:rsidR="00F35302" w:rsidRPr="002A7FC3" w:rsidRDefault="00F35302">
            <w:pPr>
              <w:rPr>
                <w:b/>
                <w:sz w:val="24"/>
                <w:szCs w:val="24"/>
              </w:rPr>
            </w:pPr>
          </w:p>
        </w:tc>
      </w:tr>
      <w:tr w:rsidR="002C68D2" w:rsidRPr="002A7FC3" w14:paraId="4FB34792" w14:textId="77777777" w:rsidTr="00641A2C">
        <w:tc>
          <w:tcPr>
            <w:tcW w:w="2008" w:type="dxa"/>
          </w:tcPr>
          <w:p w14:paraId="5B60DA62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</w:p>
          <w:p w14:paraId="2DA6D36B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 xml:space="preserve">Short </w:t>
            </w:r>
            <w:proofErr w:type="gramStart"/>
            <w:r w:rsidRPr="002A7FC3">
              <w:rPr>
                <w:b/>
                <w:sz w:val="24"/>
                <w:szCs w:val="24"/>
              </w:rPr>
              <w:t>Description  of</w:t>
            </w:r>
            <w:proofErr w:type="gramEnd"/>
            <w:r w:rsidRPr="002A7FC3">
              <w:rPr>
                <w:b/>
                <w:sz w:val="24"/>
                <w:szCs w:val="24"/>
              </w:rPr>
              <w:t xml:space="preserve"> the Organization / Department</w:t>
            </w:r>
          </w:p>
          <w:p w14:paraId="74098656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14:paraId="2C73829C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</w:p>
          <w:p w14:paraId="66666DC4" w14:textId="4160CF23" w:rsidR="00491830" w:rsidRPr="008D5019" w:rsidRDefault="00491830" w:rsidP="00491830">
            <w:p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 xml:space="preserve">The </w:t>
            </w: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Malta Freeport Corporation Ltd is the </w:t>
            </w:r>
            <w:r w:rsidR="002221BE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A</w:t>
            </w: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uthority charged with administering the affairs of the Freeport Area in Malta with the objective of fostering economic development</w:t>
            </w:r>
            <w:r w:rsidR="00C6472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and security of the area.</w:t>
            </w: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Main maritime-related activities presently carried out include</w:t>
            </w:r>
          </w:p>
          <w:p w14:paraId="028DE2E8" w14:textId="5029E2C6" w:rsidR="00491830" w:rsidRPr="008D5019" w:rsidRDefault="00491830" w:rsidP="004918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A major container </w:t>
            </w:r>
            <w:proofErr w:type="spellStart"/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transhipment</w:t>
            </w:r>
            <w:proofErr w:type="spellEnd"/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operations and associated activities</w:t>
            </w:r>
            <w:r w:rsidR="00C6472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 xml:space="preserve"> circa 3m TEU </w:t>
            </w:r>
            <w:proofErr w:type="spellStart"/>
            <w:r w:rsidR="00C6472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turnovr@year</w:t>
            </w:r>
            <w:proofErr w:type="spellEnd"/>
          </w:p>
          <w:p w14:paraId="18468493" w14:textId="77777777" w:rsidR="00491830" w:rsidRPr="008D5019" w:rsidRDefault="00491830" w:rsidP="004918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Oil-tanking facilities</w:t>
            </w:r>
          </w:p>
          <w:p w14:paraId="6458A7E9" w14:textId="77777777" w:rsidR="00491830" w:rsidRPr="008D5019" w:rsidRDefault="00491830" w:rsidP="004918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Oil industry support services</w:t>
            </w:r>
          </w:p>
          <w:p w14:paraId="382E8271" w14:textId="77777777" w:rsidR="002A7FC3" w:rsidRPr="008D5019" w:rsidRDefault="00491830" w:rsidP="008D50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</w:pPr>
            <w:r w:rsidRPr="008D5019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US" w:eastAsia="en-GB"/>
              </w:rPr>
              <w:t>Fish farming and Warehousing Activities</w:t>
            </w:r>
          </w:p>
          <w:p w14:paraId="6B4EF8FF" w14:textId="77777777" w:rsidR="002A7FC3" w:rsidRPr="002A7FC3" w:rsidRDefault="002A7FC3">
            <w:pPr>
              <w:rPr>
                <w:b/>
                <w:sz w:val="24"/>
                <w:szCs w:val="24"/>
              </w:rPr>
            </w:pPr>
          </w:p>
        </w:tc>
      </w:tr>
      <w:tr w:rsidR="002C68D2" w:rsidRPr="002A7FC3" w14:paraId="5C072212" w14:textId="77777777" w:rsidTr="00641A2C">
        <w:tc>
          <w:tcPr>
            <w:tcW w:w="2008" w:type="dxa"/>
          </w:tcPr>
          <w:p w14:paraId="261D2DEA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08" w:type="dxa"/>
            <w:gridSpan w:val="4"/>
          </w:tcPr>
          <w:p w14:paraId="1FE62ADD" w14:textId="0DF19B01" w:rsidR="002C68D2" w:rsidRPr="002A7FC3" w:rsidRDefault="002C68D2">
            <w:pPr>
              <w:rPr>
                <w:b/>
                <w:sz w:val="24"/>
                <w:szCs w:val="24"/>
              </w:rPr>
            </w:pPr>
          </w:p>
        </w:tc>
      </w:tr>
      <w:tr w:rsidR="002C68D2" w:rsidRPr="002A7FC3" w14:paraId="70452D72" w14:textId="77777777" w:rsidTr="00641A2C">
        <w:tc>
          <w:tcPr>
            <w:tcW w:w="2008" w:type="dxa"/>
          </w:tcPr>
          <w:p w14:paraId="18B2F8D0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</w:p>
          <w:p w14:paraId="25000919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 xml:space="preserve">Short Description of the Project </w:t>
            </w:r>
            <w:proofErr w:type="gramStart"/>
            <w:r w:rsidRPr="002A7FC3">
              <w:rPr>
                <w:b/>
                <w:sz w:val="24"/>
                <w:szCs w:val="24"/>
              </w:rPr>
              <w:t>idea  (</w:t>
            </w:r>
            <w:proofErr w:type="gramEnd"/>
            <w:r w:rsidRPr="002A7FC3">
              <w:rPr>
                <w:b/>
                <w:sz w:val="24"/>
                <w:szCs w:val="24"/>
              </w:rPr>
              <w:t>if foreseeable)</w:t>
            </w:r>
          </w:p>
        </w:tc>
        <w:tc>
          <w:tcPr>
            <w:tcW w:w="7008" w:type="dxa"/>
            <w:gridSpan w:val="4"/>
          </w:tcPr>
          <w:p w14:paraId="0D69CD24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</w:p>
          <w:p w14:paraId="2EEF9560" w14:textId="6D5DEA49" w:rsidR="002C68D2" w:rsidRPr="002221BE" w:rsidRDefault="002221BE">
            <w:pPr>
              <w:rPr>
                <w:bCs/>
                <w:sz w:val="24"/>
                <w:szCs w:val="24"/>
                <w:lang w:val="mt-MT"/>
              </w:rPr>
            </w:pPr>
            <w:r w:rsidRPr="002221BE">
              <w:rPr>
                <w:bCs/>
                <w:sz w:val="24"/>
                <w:szCs w:val="24"/>
                <w:lang w:val="mt-MT"/>
              </w:rPr>
              <w:t>The Freeport Corporation Ltd is seeking participation in projects</w:t>
            </w:r>
            <w:r>
              <w:rPr>
                <w:bCs/>
                <w:sz w:val="24"/>
                <w:szCs w:val="24"/>
                <w:lang w:val="mt-MT"/>
              </w:rPr>
              <w:t xml:space="preserve"> primarily</w:t>
            </w:r>
            <w:r w:rsidRPr="002221BE">
              <w:rPr>
                <w:bCs/>
                <w:sz w:val="24"/>
                <w:szCs w:val="24"/>
                <w:lang w:val="mt-MT"/>
              </w:rPr>
              <w:t xml:space="preserve"> as partner </w:t>
            </w:r>
            <w:r w:rsidR="00724CFD">
              <w:rPr>
                <w:bCs/>
                <w:sz w:val="24"/>
                <w:szCs w:val="24"/>
                <w:lang w:val="mt-MT"/>
              </w:rPr>
              <w:t>in</w:t>
            </w:r>
            <w:r>
              <w:rPr>
                <w:bCs/>
                <w:sz w:val="24"/>
                <w:szCs w:val="24"/>
                <w:lang w:val="mt-MT"/>
              </w:rPr>
              <w:t xml:space="preserve"> area</w:t>
            </w:r>
            <w:r w:rsidR="00724CFD">
              <w:rPr>
                <w:bCs/>
                <w:sz w:val="24"/>
                <w:szCs w:val="24"/>
                <w:lang w:val="mt-MT"/>
              </w:rPr>
              <w:t>s</w:t>
            </w:r>
            <w:r>
              <w:rPr>
                <w:bCs/>
                <w:sz w:val="24"/>
                <w:szCs w:val="24"/>
                <w:lang w:val="mt-MT"/>
              </w:rPr>
              <w:t xml:space="preserve"> </w:t>
            </w:r>
            <w:r w:rsidR="00724CFD">
              <w:rPr>
                <w:bCs/>
                <w:sz w:val="24"/>
                <w:szCs w:val="24"/>
                <w:lang w:val="mt-MT"/>
              </w:rPr>
              <w:t>related to</w:t>
            </w:r>
            <w:r>
              <w:rPr>
                <w:bCs/>
                <w:sz w:val="24"/>
                <w:szCs w:val="24"/>
                <w:lang w:val="mt-MT"/>
              </w:rPr>
              <w:t xml:space="preserve"> container ports</w:t>
            </w:r>
            <w:r w:rsidR="00C64729">
              <w:rPr>
                <w:bCs/>
                <w:sz w:val="24"/>
                <w:szCs w:val="24"/>
                <w:lang w:val="mt-MT"/>
              </w:rPr>
              <w:t xml:space="preserve"> with special interest to environmental impact and efficency.</w:t>
            </w:r>
          </w:p>
          <w:p w14:paraId="32CFFDB7" w14:textId="77777777" w:rsidR="002A7FC3" w:rsidRPr="002A7FC3" w:rsidRDefault="002A7FC3">
            <w:pPr>
              <w:rPr>
                <w:b/>
                <w:sz w:val="24"/>
                <w:szCs w:val="24"/>
              </w:rPr>
            </w:pPr>
          </w:p>
        </w:tc>
      </w:tr>
      <w:tr w:rsidR="002C68D2" w:rsidRPr="002A7FC3" w14:paraId="483B5AC3" w14:textId="77777777" w:rsidTr="00641A2C">
        <w:tc>
          <w:tcPr>
            <w:tcW w:w="2008" w:type="dxa"/>
          </w:tcPr>
          <w:p w14:paraId="1AA44301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14:paraId="0934C377" w14:textId="77777777" w:rsidR="002C68D2" w:rsidRPr="002A7FC3" w:rsidRDefault="002C68D2">
            <w:pPr>
              <w:rPr>
                <w:b/>
                <w:sz w:val="24"/>
                <w:szCs w:val="24"/>
              </w:rPr>
            </w:pPr>
          </w:p>
        </w:tc>
      </w:tr>
      <w:tr w:rsidR="00641A2C" w:rsidRPr="002A7FC3" w14:paraId="2E453BBF" w14:textId="77777777" w:rsidTr="00641A2C">
        <w:tc>
          <w:tcPr>
            <w:tcW w:w="2008" w:type="dxa"/>
            <w:vAlign w:val="center"/>
          </w:tcPr>
          <w:p w14:paraId="2815BCF7" w14:textId="77777777" w:rsidR="00641A2C" w:rsidRPr="002A7FC3" w:rsidRDefault="00641A2C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Contact Person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04" w:type="dxa"/>
            <w:vAlign w:val="center"/>
          </w:tcPr>
          <w:p w14:paraId="4BC7FC0F" w14:textId="77777777" w:rsidR="00641A2C" w:rsidRDefault="00641A2C" w:rsidP="00641A2C">
            <w:pPr>
              <w:jc w:val="center"/>
              <w:rPr>
                <w:bCs/>
                <w:sz w:val="24"/>
                <w:szCs w:val="24"/>
                <w:lang w:val="mt-MT"/>
              </w:rPr>
            </w:pPr>
          </w:p>
          <w:p w14:paraId="64FF0634" w14:textId="1AC32751" w:rsidR="00641A2C" w:rsidRPr="00641A2C" w:rsidRDefault="00641A2C" w:rsidP="00641A2C">
            <w:pPr>
              <w:jc w:val="center"/>
              <w:rPr>
                <w:bCs/>
                <w:sz w:val="24"/>
                <w:szCs w:val="24"/>
                <w:lang w:val="mt-MT"/>
              </w:rPr>
            </w:pPr>
            <w:r w:rsidRPr="00641A2C">
              <w:rPr>
                <w:bCs/>
                <w:sz w:val="24"/>
                <w:szCs w:val="24"/>
                <w:lang w:val="mt-MT"/>
              </w:rPr>
              <w:t>David Magro</w:t>
            </w:r>
          </w:p>
          <w:p w14:paraId="17E8C036" w14:textId="77777777" w:rsidR="00641A2C" w:rsidRPr="00641A2C" w:rsidRDefault="00641A2C" w:rsidP="00641A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0FF7BE1E" w14:textId="619368D5" w:rsidR="00641A2C" w:rsidRPr="00641A2C" w:rsidRDefault="00724CFD" w:rsidP="00641A2C">
            <w:pPr>
              <w:jc w:val="center"/>
              <w:rPr>
                <w:bCs/>
                <w:sz w:val="24"/>
                <w:szCs w:val="24"/>
                <w:lang w:val="mt-MT"/>
              </w:rPr>
            </w:pPr>
            <w:r>
              <w:rPr>
                <w:bCs/>
                <w:sz w:val="24"/>
                <w:szCs w:val="24"/>
                <w:lang w:val="mt-MT"/>
              </w:rPr>
              <w:lastRenderedPageBreak/>
              <w:t>Felix Grech</w:t>
            </w:r>
          </w:p>
        </w:tc>
      </w:tr>
      <w:tr w:rsidR="00641A2C" w:rsidRPr="002A7FC3" w14:paraId="741168AB" w14:textId="77777777" w:rsidTr="00641A2C">
        <w:tc>
          <w:tcPr>
            <w:tcW w:w="2008" w:type="dxa"/>
          </w:tcPr>
          <w:p w14:paraId="3111E6BA" w14:textId="77777777" w:rsidR="00641A2C" w:rsidRPr="002A7FC3" w:rsidRDefault="00641A2C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Position in the Organization</w:t>
            </w:r>
          </w:p>
          <w:p w14:paraId="16CD4D55" w14:textId="77777777" w:rsidR="00641A2C" w:rsidRPr="002A7FC3" w:rsidRDefault="00641A2C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64A6EAF6" w14:textId="77777777" w:rsidR="00641A2C" w:rsidRPr="00641A2C" w:rsidRDefault="00641A2C" w:rsidP="00641A2C">
            <w:pPr>
              <w:jc w:val="center"/>
              <w:rPr>
                <w:bCs/>
                <w:sz w:val="24"/>
                <w:szCs w:val="24"/>
                <w:lang w:val="mt-MT"/>
              </w:rPr>
            </w:pPr>
            <w:r w:rsidRPr="00641A2C">
              <w:rPr>
                <w:bCs/>
                <w:sz w:val="24"/>
                <w:szCs w:val="24"/>
                <w:lang w:val="mt-MT"/>
              </w:rPr>
              <w:t>Chief Executive Officer</w:t>
            </w:r>
          </w:p>
        </w:tc>
        <w:tc>
          <w:tcPr>
            <w:tcW w:w="3504" w:type="dxa"/>
            <w:gridSpan w:val="3"/>
            <w:vAlign w:val="center"/>
          </w:tcPr>
          <w:p w14:paraId="26CBD0AE" w14:textId="63867439" w:rsidR="00641A2C" w:rsidRPr="00641A2C" w:rsidRDefault="00724CFD" w:rsidP="00641A2C">
            <w:pPr>
              <w:jc w:val="center"/>
              <w:rPr>
                <w:bCs/>
                <w:sz w:val="24"/>
                <w:szCs w:val="24"/>
                <w:lang w:val="mt-MT"/>
              </w:rPr>
            </w:pPr>
            <w:r>
              <w:rPr>
                <w:bCs/>
                <w:sz w:val="24"/>
                <w:szCs w:val="24"/>
                <w:lang w:val="mt-MT"/>
              </w:rPr>
              <w:t>Professional Officer (Engineer)</w:t>
            </w:r>
          </w:p>
        </w:tc>
      </w:tr>
      <w:tr w:rsidR="00641A2C" w:rsidRPr="002A7FC3" w14:paraId="521C331C" w14:textId="77777777" w:rsidTr="00641A2C">
        <w:tc>
          <w:tcPr>
            <w:tcW w:w="2008" w:type="dxa"/>
          </w:tcPr>
          <w:p w14:paraId="5AE95092" w14:textId="77777777" w:rsidR="00641A2C" w:rsidRPr="002A7FC3" w:rsidRDefault="00641A2C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Tel</w:t>
            </w:r>
          </w:p>
          <w:p w14:paraId="43C4D2F8" w14:textId="77777777" w:rsidR="00641A2C" w:rsidRPr="002A7FC3" w:rsidRDefault="00641A2C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56CAD31E" w14:textId="336D7B2E" w:rsidR="00641A2C" w:rsidRPr="00522ED9" w:rsidRDefault="00522ED9" w:rsidP="00522ED9">
            <w:pPr>
              <w:rPr>
                <w:bCs/>
                <w:sz w:val="24"/>
                <w:szCs w:val="24"/>
                <w:lang w:val="mt-MT"/>
              </w:rPr>
            </w:pPr>
            <w:r>
              <w:rPr>
                <w:bCs/>
                <w:sz w:val="24"/>
                <w:szCs w:val="24"/>
                <w:lang w:val="mt-MT"/>
              </w:rPr>
              <w:t xml:space="preserve">              356 2225 1191</w:t>
            </w:r>
          </w:p>
        </w:tc>
        <w:tc>
          <w:tcPr>
            <w:tcW w:w="3504" w:type="dxa"/>
            <w:gridSpan w:val="3"/>
            <w:vAlign w:val="center"/>
          </w:tcPr>
          <w:p w14:paraId="0F29CFF9" w14:textId="5398DA08" w:rsidR="00641A2C" w:rsidRPr="00522ED9" w:rsidRDefault="00522ED9" w:rsidP="00641A2C">
            <w:pPr>
              <w:jc w:val="center"/>
              <w:rPr>
                <w:bCs/>
                <w:sz w:val="24"/>
                <w:szCs w:val="24"/>
                <w:lang w:val="mt-MT"/>
              </w:rPr>
            </w:pPr>
            <w:r>
              <w:rPr>
                <w:bCs/>
                <w:sz w:val="24"/>
                <w:szCs w:val="24"/>
                <w:lang w:val="mt-MT"/>
              </w:rPr>
              <w:t>356 2225 1313</w:t>
            </w:r>
          </w:p>
        </w:tc>
      </w:tr>
      <w:tr w:rsidR="00641A2C" w:rsidRPr="002A7FC3" w14:paraId="163F4DC9" w14:textId="77777777" w:rsidTr="00641A2C">
        <w:tc>
          <w:tcPr>
            <w:tcW w:w="2008" w:type="dxa"/>
          </w:tcPr>
          <w:p w14:paraId="1EE1A718" w14:textId="77777777" w:rsidR="00641A2C" w:rsidRPr="002A7FC3" w:rsidRDefault="00641A2C">
            <w:pPr>
              <w:rPr>
                <w:b/>
                <w:sz w:val="24"/>
                <w:szCs w:val="24"/>
              </w:rPr>
            </w:pPr>
            <w:r w:rsidRPr="002A7FC3">
              <w:rPr>
                <w:b/>
                <w:sz w:val="24"/>
                <w:szCs w:val="24"/>
              </w:rPr>
              <w:t>Email</w:t>
            </w:r>
          </w:p>
          <w:p w14:paraId="51D4091A" w14:textId="77777777" w:rsidR="00641A2C" w:rsidRPr="002A7FC3" w:rsidRDefault="00641A2C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14:paraId="0EB3B954" w14:textId="2EC6C6BE" w:rsidR="00641A2C" w:rsidRPr="00641A2C" w:rsidRDefault="00641A2C" w:rsidP="00641A2C">
            <w:pPr>
              <w:rPr>
                <w:bCs/>
                <w:sz w:val="24"/>
                <w:szCs w:val="24"/>
                <w:lang w:val="mt-MT"/>
              </w:rPr>
            </w:pPr>
            <w:r>
              <w:rPr>
                <w:bCs/>
                <w:sz w:val="24"/>
                <w:szCs w:val="24"/>
                <w:lang w:val="mt-MT"/>
              </w:rPr>
              <w:t xml:space="preserve">      </w:t>
            </w:r>
            <w:r w:rsidRPr="00641A2C">
              <w:rPr>
                <w:bCs/>
                <w:sz w:val="24"/>
                <w:szCs w:val="24"/>
                <w:lang w:val="mt-MT"/>
              </w:rPr>
              <w:t>david.magro@mfc.gov.mt</w:t>
            </w:r>
          </w:p>
        </w:tc>
        <w:tc>
          <w:tcPr>
            <w:tcW w:w="3504" w:type="dxa"/>
            <w:gridSpan w:val="3"/>
            <w:vAlign w:val="center"/>
          </w:tcPr>
          <w:p w14:paraId="32E5000A" w14:textId="2CEF797F" w:rsidR="00641A2C" w:rsidRPr="00641A2C" w:rsidRDefault="00724CFD" w:rsidP="00641A2C">
            <w:pPr>
              <w:jc w:val="center"/>
              <w:rPr>
                <w:bCs/>
                <w:sz w:val="24"/>
                <w:szCs w:val="24"/>
                <w:lang w:val="mt-MT"/>
              </w:rPr>
            </w:pPr>
            <w:r>
              <w:rPr>
                <w:bCs/>
                <w:sz w:val="24"/>
                <w:szCs w:val="24"/>
                <w:lang w:val="mt-MT"/>
              </w:rPr>
              <w:t>Felix.grech@mfc.gov.mt</w:t>
            </w:r>
          </w:p>
        </w:tc>
      </w:tr>
    </w:tbl>
    <w:p w14:paraId="1597DCCE" w14:textId="77777777" w:rsidR="002628CF" w:rsidRPr="002A7FC3" w:rsidRDefault="003C7004">
      <w:pPr>
        <w:rPr>
          <w:b/>
          <w:sz w:val="24"/>
          <w:szCs w:val="24"/>
        </w:rPr>
      </w:pPr>
    </w:p>
    <w:sectPr w:rsidR="002628CF" w:rsidRPr="002A7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DDC"/>
    <w:multiLevelType w:val="hybridMultilevel"/>
    <w:tmpl w:val="8188C21C"/>
    <w:lvl w:ilvl="0" w:tplc="EA265522">
      <w:start w:val="1"/>
      <w:numFmt w:val="bullet"/>
      <w:lvlText w:val="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0D45"/>
    <w:multiLevelType w:val="hybridMultilevel"/>
    <w:tmpl w:val="9E9C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6C"/>
    <w:rsid w:val="002221BE"/>
    <w:rsid w:val="002A7FC3"/>
    <w:rsid w:val="002C68D2"/>
    <w:rsid w:val="00491830"/>
    <w:rsid w:val="004F76CD"/>
    <w:rsid w:val="00522ED9"/>
    <w:rsid w:val="005C2C9B"/>
    <w:rsid w:val="00641A2C"/>
    <w:rsid w:val="00724CFD"/>
    <w:rsid w:val="008D5019"/>
    <w:rsid w:val="00A53664"/>
    <w:rsid w:val="00B11855"/>
    <w:rsid w:val="00BF49C4"/>
    <w:rsid w:val="00C64729"/>
    <w:rsid w:val="00DA642C"/>
    <w:rsid w:val="00DB436C"/>
    <w:rsid w:val="00F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A355"/>
  <w15:chartTrackingRefBased/>
  <w15:docId w15:val="{F5B09B6C-948F-4C0F-A691-B879B7C1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 Felix at Freeport</dc:creator>
  <cp:keywords/>
  <dc:description/>
  <cp:lastModifiedBy>Felix Grech</cp:lastModifiedBy>
  <cp:revision>5</cp:revision>
  <dcterms:created xsi:type="dcterms:W3CDTF">2020-02-05T14:34:00Z</dcterms:created>
  <dcterms:modified xsi:type="dcterms:W3CDTF">2020-02-06T09:32:00Z</dcterms:modified>
</cp:coreProperties>
</file>